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napToGrid w:val="0"/>
        <w:jc w:val="center"/>
        <w:textAlignment w:val="center"/>
        <w:rPr>
          <w:rFonts w:ascii="楷体" w:eastAsia="楷体" w:cs="楷体" w:hAnsi="楷体" w:hint="eastAsia"/>
          <w:b w:val="0"/>
          <w:bCs/>
          <w:i w:val="0"/>
          <w:iCs w:val="0"/>
          <w:kern w:val="0"/>
          <w:sz w:val="32"/>
          <w:szCs w:val="32"/>
          <w:lang w:eastAsia="zh-CN"/>
        </w:rPr>
      </w:pPr>
    </w:p>
    <w:tbl>
      <w:tblPr>
        <w:jc w:val="center"/>
        <w:tblW w:w="14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125"/>
        <w:gridCol w:w="5004"/>
        <w:gridCol w:w="4026"/>
      </w:tblGrid>
      <w:tr>
        <w:trPr>
          <w:trHeight w:val="699"/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申请事项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kern w:val="0"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审查结果</w:t>
            </w:r>
          </w:p>
        </w:tc>
      </w:tr>
      <w:tr>
        <w:trPr>
          <w:trHeight w:val="293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中铁十九局集团第五工程有限公司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符合资质要求。</w:t>
            </w:r>
          </w:p>
        </w:tc>
      </w:tr>
      <w:tr>
        <w:trPr>
          <w:trHeight w:val="282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辽宁昌兴水利建筑工程有限公司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t>升级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陆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麒、齐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泰、李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峰、牛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青等4人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全国水利建设市场监管平台、“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四库一平台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”显示在其他企业从业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不符合资质要求。</w:t>
            </w:r>
          </w:p>
        </w:tc>
      </w:tr>
      <w:tr>
        <w:trPr>
          <w:trHeight w:val="253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大连宏璟水利工程有限公司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t>升级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  <w:t>技术负责人业绩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1、2存疑，且未提供证明材料，在黑龙江省公共资源交易平台上无法查询信息。额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图、罗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、张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锦、刘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金、王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莹、贺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宇、黄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、韦</w:t>
            </w:r>
            <w:r>
              <w:rPr>
                <w:rFonts w:ascii="仿宋_GB2312" w:eastAsia="仿宋_GB2312" w:cs="仿宋_GB2312" w:hAnsi="仿宋_GB2312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某</w:t>
            </w:r>
            <w:bookmarkStart w:id="0" w:name="_GoBack"/>
            <w:bookmarkEnd w:id="0"/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明等8人社保校核未通过。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不符合资质要求。</w:t>
            </w:r>
          </w:p>
        </w:tc>
      </w:tr>
      <w:tr>
        <w:trPr>
          <w:trHeight w:val="29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t>中交一航局第三工程有限公司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t>增项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-水利水电工程施工总承包二级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无（该企业在审查期间撤件）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footerReference w:type="default" r:id="rId2"/>
      <w:pgSz w:w="16838" w:h="11906" w:orient="landscape"/>
      <w:pgMar w:top="1746" w:right="1440" w:bottom="1449" w:left="1440" w:header="851" w:footer="992" w:gutter="0"/>
      <w:pgNumType w:start="2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楷体">
    <w:altName w:val="方正楷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文泉驿正黑">
    <w:panose1 w:val="02000603000000000000"/>
    <w:charset w:val="86"/>
    <w:family w:val="script"/>
    <w:pitch w:val="variable"/>
    <w:sig w:usb0="900002BF" w:usb1="2BDF7DFB" w:usb2="00000036" w:usb3="00000000" w:csb0="603E000D" w:csb1="D2D7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198" cy="133159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6198" cy="133159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5.9999084pt;height:10.484998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FEF16F6"/>
    <w:multiLevelType w:val="singleLevel"/>
    <w:tmpl w:val="FFEF16F6"/>
    <w:lvl w:ilvl="0">
      <w:start w:val="1"/>
      <w:numFmt w:val="decimal"/>
      <w:lvlRestart w:val="0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MzEwNTM5NzYwMDRjMzkwZTVkZjY2ODkwMGIxNGU0OT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文泉驿正黑" w:eastAsia="黑体" w:hAnsi="文泉驿正黑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7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90FF077A-8C92-4C9F-BD68-5FDA2589C9FA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11</TotalTime>
  <Application>Yozo_Office27021597764231179</Application>
  <Pages>2</Pages>
  <Words>0</Words>
  <Characters>340</Characters>
  <Lines>0</Lines>
  <Paragraphs>3</Paragraphs>
  <CharactersWithSpaces>454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PPP</cp:lastModifiedBy>
  <cp:revision>1</cp:revision>
  <cp:lastPrinted>2023-12-18T03:13:00Z</cp:lastPrinted>
  <dcterms:created xsi:type="dcterms:W3CDTF">2023-07-21T06:26:00Z</dcterms:created>
  <dcterms:modified xsi:type="dcterms:W3CDTF">2024-12-17T07:15:33Z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2052-12.1.0.16929</vt:lpwstr>
  </property>
  <property fmtid="{D5CDD505-2E9C-101B-9397-08002B2CF9AE}" pid="3" name="ICV">
    <vt:lpwstr>3C7C3023F56E47BB8FBFE55586A3C052_13</vt:lpwstr>
  </property>
</Properties>
</file>